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41E" w:rsidRDefault="00EE141E" w:rsidP="00EE141E">
      <w:pPr>
        <w:pStyle w:val="a3"/>
        <w:shd w:val="clear" w:color="auto" w:fill="FFFFFF"/>
        <w:spacing w:line="360" w:lineRule="atLeast"/>
        <w:ind w:firstLineChars="147" w:firstLine="310"/>
        <w:rPr>
          <w:color w:val="000000"/>
          <w:sz w:val="21"/>
          <w:szCs w:val="21"/>
        </w:rPr>
      </w:pPr>
      <w:r>
        <w:rPr>
          <w:rStyle w:val="a4"/>
          <w:rFonts w:hint="eastAsia"/>
          <w:color w:val="000000"/>
          <w:sz w:val="21"/>
          <w:szCs w:val="21"/>
        </w:rPr>
        <w:t>增值税</w:t>
      </w:r>
    </w:p>
    <w:p w:rsidR="00EE141E" w:rsidRDefault="00EE141E" w:rsidP="00EE141E">
      <w:pPr>
        <w:pStyle w:val="a3"/>
        <w:shd w:val="clear" w:color="auto" w:fill="FFFFFF"/>
        <w:spacing w:line="360" w:lineRule="atLeast"/>
        <w:rPr>
          <w:color w:val="000000"/>
          <w:sz w:val="21"/>
          <w:szCs w:val="21"/>
        </w:rPr>
      </w:pPr>
      <w:r>
        <w:rPr>
          <w:rFonts w:hint="eastAsia"/>
          <w:color w:val="000000"/>
          <w:sz w:val="21"/>
          <w:szCs w:val="21"/>
        </w:rPr>
        <w:t>增值税是以商品（含应税劳务）在流转过程中产生的增值额作为计税依据而征收的一种流转税。从计税原理上说，增值税是对商品生产、流通、劳务服务中多个环节的新增价值或商品的附加值征收的一种流转税。实行价外税，也就是由消费者负担，有增值才</w:t>
      </w:r>
      <w:proofErr w:type="gramStart"/>
      <w:r>
        <w:rPr>
          <w:rFonts w:hint="eastAsia"/>
          <w:color w:val="000000"/>
          <w:sz w:val="21"/>
          <w:szCs w:val="21"/>
        </w:rPr>
        <w:t>征税没</w:t>
      </w:r>
      <w:proofErr w:type="gramEnd"/>
      <w:r>
        <w:rPr>
          <w:rFonts w:hint="eastAsia"/>
          <w:color w:val="000000"/>
          <w:sz w:val="21"/>
          <w:szCs w:val="21"/>
        </w:rPr>
        <w:t>增值不征税。</w:t>
      </w:r>
      <w:r>
        <w:rPr>
          <w:rFonts w:hint="eastAsia"/>
          <w:color w:val="000000"/>
          <w:sz w:val="21"/>
          <w:szCs w:val="21"/>
        </w:rPr>
        <w:br/>
      </w:r>
      <w:r>
        <w:rPr>
          <w:rFonts w:hint="eastAsia"/>
          <w:color w:val="000000"/>
          <w:sz w:val="21"/>
          <w:szCs w:val="21"/>
        </w:rPr>
        <w:br/>
        <w:t>增值税是对销售货物或者提供加工、修理修配劳务以及进口货物的单位和个人就其实现的增值额征收的一个税种。增值税已经成为中国最主要的税种之一，增值税的收入占中国全部税收的60%以上，是最大的税种。增值税由国家税务局负责征收，税收收入中50%为中央财政收入，50%为地方收入。进口环节的增值税由海关负责征收，税收收入全部为中央财政收入。</w:t>
      </w:r>
    </w:p>
    <w:p w:rsidR="00EE141E" w:rsidRPr="00EE141E" w:rsidRDefault="00EE141E" w:rsidP="00EE141E">
      <w:pPr>
        <w:widowControl/>
        <w:shd w:val="clear" w:color="auto" w:fill="FFFFFF"/>
        <w:spacing w:before="100" w:beforeAutospacing="1" w:after="100" w:afterAutospacing="1" w:line="360" w:lineRule="atLeast"/>
        <w:jc w:val="left"/>
        <w:rPr>
          <w:rFonts w:ascii="宋体" w:eastAsia="宋体" w:hAnsi="宋体" w:cs="宋体"/>
          <w:color w:val="000000"/>
          <w:kern w:val="0"/>
          <w:szCs w:val="21"/>
        </w:rPr>
      </w:pPr>
      <w:r w:rsidRPr="00EE141E">
        <w:rPr>
          <w:rFonts w:ascii="宋体" w:eastAsia="宋体" w:hAnsi="宋体" w:cs="宋体" w:hint="eastAsia"/>
          <w:b/>
          <w:bCs/>
          <w:color w:val="000000"/>
          <w:kern w:val="0"/>
        </w:rPr>
        <w:t>2020年最新增值税税率表</w:t>
      </w:r>
    </w:p>
    <w:tbl>
      <w:tblPr>
        <w:tblW w:w="5000" w:type="pct"/>
        <w:jc w:val="center"/>
        <w:tblCellSpacing w:w="7" w:type="dxa"/>
        <w:shd w:val="clear" w:color="auto" w:fill="0099CC"/>
        <w:tblCellMar>
          <w:left w:w="0" w:type="dxa"/>
          <w:right w:w="0" w:type="dxa"/>
        </w:tblCellMar>
        <w:tblLook w:val="04A0"/>
      </w:tblPr>
      <w:tblGrid>
        <w:gridCol w:w="1346"/>
        <w:gridCol w:w="5974"/>
        <w:gridCol w:w="1014"/>
      </w:tblGrid>
      <w:tr w:rsidR="00EE141E" w:rsidRPr="00EE141E" w:rsidTr="00EE141E">
        <w:trPr>
          <w:trHeight w:val="315"/>
          <w:tblCellSpacing w:w="7" w:type="dxa"/>
          <w:jc w:val="center"/>
        </w:trPr>
        <w:tc>
          <w:tcPr>
            <w:tcW w:w="800" w:type="pct"/>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3600" w:type="pct"/>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color w:val="FFFFFF"/>
                <w:kern w:val="0"/>
              </w:rPr>
              <w:t>简易计税</w:t>
            </w:r>
          </w:p>
        </w:tc>
        <w:tc>
          <w:tcPr>
            <w:tcW w:w="600" w:type="pct"/>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color w:val="FFFFFF"/>
                <w:kern w:val="0"/>
              </w:rPr>
              <w:t>征收率</w:t>
            </w:r>
          </w:p>
        </w:tc>
      </w:tr>
      <w:tr w:rsidR="00EE141E" w:rsidRPr="00EE141E" w:rsidTr="00EE141E">
        <w:trPr>
          <w:tblCellSpacing w:w="7" w:type="dxa"/>
          <w:jc w:val="center"/>
        </w:trPr>
        <w:tc>
          <w:tcPr>
            <w:tcW w:w="0" w:type="auto"/>
            <w:vMerge w:val="restart"/>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小规模纳税人以及允许适用简易计税方式计税的一般纳税人</w:t>
            </w: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小规模纳税人销售货物或 者加工、修理修配劳务， 销售应税服务、无形资产; 一般纳税人发生按规定适用或者可以选择适用简易 计税方法计税的特定应税 行为，但适用5%征收率 的除外</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3%</w:t>
            </w:r>
          </w:p>
        </w:tc>
      </w:tr>
      <w:tr w:rsidR="00EE141E" w:rsidRPr="00EE141E" w:rsidTr="00EE141E">
        <w:trPr>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销售不动产；符合条件的 经营租赁不动产（土地使 用权）；转让</w:t>
            </w:r>
            <w:proofErr w:type="gramStart"/>
            <w:r w:rsidRPr="00EE141E">
              <w:rPr>
                <w:rFonts w:ascii="新宋体" w:eastAsia="新宋体" w:hAnsi="新宋体" w:cs="宋体" w:hint="eastAsia"/>
                <w:kern w:val="0"/>
                <w:szCs w:val="21"/>
              </w:rPr>
              <w:t>营改增前</w:t>
            </w:r>
            <w:proofErr w:type="gramEnd"/>
            <w:r w:rsidRPr="00EE141E">
              <w:rPr>
                <w:rFonts w:ascii="新宋体" w:eastAsia="新宋体" w:hAnsi="新宋体" w:cs="宋体" w:hint="eastAsia"/>
                <w:kern w:val="0"/>
                <w:szCs w:val="21"/>
              </w:rPr>
              <w:t>取 得的土地使用权；房地产 开发企业销售、出租自行 开发的房地产老项目；符 合条件的不动产融资租赁 ;选择差额纳税的劳务派 遣、安全保护服务；一般 纳税人提供人力资源外包 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5%</w:t>
            </w:r>
          </w:p>
        </w:tc>
      </w:tr>
      <w:tr w:rsidR="00EE141E" w:rsidRPr="00EE141E" w:rsidTr="00EE141E">
        <w:trPr>
          <w:trHeight w:val="630"/>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个人出租住房，按照5% 的</w:t>
            </w:r>
            <w:proofErr w:type="gramStart"/>
            <w:r w:rsidRPr="00EE141E">
              <w:rPr>
                <w:rFonts w:ascii="新宋体" w:eastAsia="新宋体" w:hAnsi="新宋体" w:cs="宋体" w:hint="eastAsia"/>
                <w:kern w:val="0"/>
                <w:szCs w:val="21"/>
              </w:rPr>
              <w:t>征收率减按</w:t>
            </w:r>
            <w:proofErr w:type="gramEnd"/>
            <w:r w:rsidRPr="00EE141E">
              <w:rPr>
                <w:rFonts w:ascii="新宋体" w:eastAsia="新宋体" w:hAnsi="新宋体" w:cs="宋体" w:hint="eastAsia"/>
                <w:kern w:val="0"/>
                <w:szCs w:val="21"/>
              </w:rPr>
              <w:t>1.5%计算 应纳税额</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5%减按1.5%</w:t>
            </w:r>
          </w:p>
        </w:tc>
      </w:tr>
      <w:tr w:rsidR="00EE141E" w:rsidRPr="00EE141E" w:rsidTr="00EE141E">
        <w:trPr>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B92C99">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纳税人销售旧货；小规模 纳税人（不含其它个人）以及符合规定情形的一般纳税人销售自己使用过的固定资产，可依3%征收率减按2%征收增值税</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3%减按2%</w:t>
            </w:r>
          </w:p>
        </w:tc>
      </w:tr>
    </w:tbl>
    <w:p w:rsidR="00EE141E" w:rsidRPr="00EE141E" w:rsidRDefault="00EE141E" w:rsidP="00EE141E">
      <w:pPr>
        <w:widowControl/>
        <w:shd w:val="clear" w:color="auto" w:fill="FFFFFF"/>
        <w:spacing w:before="100" w:beforeAutospacing="1" w:after="100" w:afterAutospacing="1" w:line="360" w:lineRule="atLeast"/>
        <w:jc w:val="left"/>
        <w:rPr>
          <w:rFonts w:ascii="宋体" w:eastAsia="宋体" w:hAnsi="宋体" w:cs="宋体"/>
          <w:color w:val="000000"/>
          <w:kern w:val="0"/>
          <w:szCs w:val="21"/>
        </w:rPr>
      </w:pPr>
      <w:r w:rsidRPr="00EE141E">
        <w:rPr>
          <w:rFonts w:ascii="宋体" w:eastAsia="宋体" w:hAnsi="宋体" w:cs="宋体" w:hint="eastAsia"/>
          <w:b/>
          <w:bCs/>
          <w:color w:val="000000"/>
          <w:kern w:val="0"/>
        </w:rPr>
        <w:t>增值税项目</w:t>
      </w:r>
    </w:p>
    <w:tbl>
      <w:tblPr>
        <w:tblW w:w="5000" w:type="pct"/>
        <w:jc w:val="center"/>
        <w:tblCellSpacing w:w="7" w:type="dxa"/>
        <w:shd w:val="clear" w:color="auto" w:fill="0099CC"/>
        <w:tblCellMar>
          <w:left w:w="0" w:type="dxa"/>
          <w:right w:w="0" w:type="dxa"/>
        </w:tblCellMar>
        <w:tblLook w:val="04A0"/>
      </w:tblPr>
      <w:tblGrid>
        <w:gridCol w:w="1346"/>
        <w:gridCol w:w="5891"/>
        <w:gridCol w:w="1097"/>
      </w:tblGrid>
      <w:tr w:rsidR="00EE141E" w:rsidRPr="00EE141E" w:rsidTr="00EE141E">
        <w:trPr>
          <w:trHeight w:val="315"/>
          <w:tblCellSpacing w:w="7" w:type="dxa"/>
          <w:jc w:val="center"/>
        </w:trPr>
        <w:tc>
          <w:tcPr>
            <w:tcW w:w="800" w:type="pct"/>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3550" w:type="pct"/>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color w:val="FFFFFF"/>
                <w:kern w:val="0"/>
              </w:rPr>
              <w:t>增值税项目</w:t>
            </w:r>
          </w:p>
        </w:tc>
        <w:tc>
          <w:tcPr>
            <w:tcW w:w="650" w:type="pct"/>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color w:val="FFFFFF"/>
                <w:kern w:val="0"/>
              </w:rPr>
              <w:t>税率</w:t>
            </w:r>
          </w:p>
        </w:tc>
      </w:tr>
      <w:tr w:rsidR="00EE141E" w:rsidRPr="00EE141E" w:rsidTr="00EE141E">
        <w:trPr>
          <w:trHeight w:val="630"/>
          <w:tblCellSpacing w:w="7" w:type="dxa"/>
          <w:jc w:val="center"/>
        </w:trPr>
        <w:tc>
          <w:tcPr>
            <w:tcW w:w="0" w:type="auto"/>
            <w:vMerge w:val="restart"/>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一般纳税人</w:t>
            </w: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销售或者进口货物（另有列举的货物除外;销售劳务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13%</w:t>
            </w:r>
          </w:p>
        </w:tc>
      </w:tr>
      <w:tr w:rsidR="00EE141E" w:rsidRPr="00EE141E" w:rsidTr="00EE141E">
        <w:trPr>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销售或者进口 ：</w:t>
            </w:r>
            <w:r w:rsidRPr="00EE141E">
              <w:rPr>
                <w:rFonts w:ascii="新宋体" w:eastAsia="新宋体" w:hAnsi="新宋体" w:cs="宋体" w:hint="eastAsia"/>
                <w:kern w:val="0"/>
                <w:szCs w:val="21"/>
              </w:rPr>
              <w:br/>
              <w:t>1. 粮食等农产品、食用植 物油、食用盐；</w:t>
            </w:r>
            <w:r w:rsidRPr="00EE141E">
              <w:rPr>
                <w:rFonts w:ascii="新宋体" w:eastAsia="新宋体" w:hAnsi="新宋体" w:cs="宋体" w:hint="eastAsia"/>
                <w:kern w:val="0"/>
                <w:szCs w:val="21"/>
              </w:rPr>
              <w:br/>
              <w:t>2. 自来水、暖气、冷气、 热水、煤气、石油液化气、</w:t>
            </w:r>
            <w:r w:rsidRPr="00EE141E">
              <w:rPr>
                <w:rFonts w:ascii="新宋体" w:eastAsia="新宋体" w:hAnsi="新宋体" w:cs="宋体" w:hint="eastAsia"/>
                <w:kern w:val="0"/>
                <w:szCs w:val="21"/>
              </w:rPr>
              <w:br/>
              <w:t>天然气、二甲醚、沼气、 居民用煤炭制品；</w:t>
            </w:r>
            <w:r w:rsidRPr="00EE141E">
              <w:rPr>
                <w:rFonts w:ascii="新宋体" w:eastAsia="新宋体" w:hAnsi="新宋体" w:cs="宋体" w:hint="eastAsia"/>
                <w:kern w:val="0"/>
                <w:szCs w:val="21"/>
              </w:rPr>
              <w:br/>
              <w:t>3. 图书、报纸、杂志、 像制品、电子出版物；</w:t>
            </w:r>
            <w:r w:rsidRPr="00EE141E">
              <w:rPr>
                <w:rFonts w:ascii="新宋体" w:eastAsia="新宋体" w:hAnsi="新宋体" w:cs="宋体" w:hint="eastAsia"/>
                <w:kern w:val="0"/>
                <w:szCs w:val="21"/>
              </w:rPr>
              <w:br/>
              <w:t>4. 饲料、化肥、农药、农 机、农膜；</w:t>
            </w:r>
            <w:r w:rsidRPr="00EE141E">
              <w:rPr>
                <w:rFonts w:ascii="新宋体" w:eastAsia="新宋体" w:hAnsi="新宋体" w:cs="宋体" w:hint="eastAsia"/>
                <w:kern w:val="0"/>
                <w:szCs w:val="21"/>
              </w:rPr>
              <w:br/>
              <w:t>5. 国务院规定的其他货物</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9%</w:t>
            </w:r>
          </w:p>
        </w:tc>
      </w:tr>
    </w:tbl>
    <w:p w:rsidR="00EE141E" w:rsidRPr="00EE141E" w:rsidRDefault="00EE141E" w:rsidP="00EE141E">
      <w:pPr>
        <w:widowControl/>
        <w:shd w:val="clear" w:color="auto" w:fill="FFFFFF"/>
        <w:spacing w:before="100" w:beforeAutospacing="1" w:after="100" w:afterAutospacing="1" w:line="360" w:lineRule="atLeast"/>
        <w:jc w:val="left"/>
        <w:rPr>
          <w:rFonts w:ascii="宋体" w:eastAsia="宋体" w:hAnsi="宋体" w:cs="宋体"/>
          <w:color w:val="000000"/>
          <w:kern w:val="0"/>
          <w:szCs w:val="21"/>
        </w:rPr>
      </w:pPr>
      <w:r w:rsidRPr="00EE141E">
        <w:rPr>
          <w:rFonts w:ascii="宋体" w:eastAsia="宋体" w:hAnsi="宋体" w:cs="宋体" w:hint="eastAsia"/>
          <w:b/>
          <w:bCs/>
          <w:color w:val="000000"/>
          <w:kern w:val="0"/>
        </w:rPr>
        <w:lastRenderedPageBreak/>
        <w:t>购进农产品进项税额扣除率</w:t>
      </w:r>
    </w:p>
    <w:tbl>
      <w:tblPr>
        <w:tblW w:w="5000" w:type="pct"/>
        <w:jc w:val="center"/>
        <w:tblCellSpacing w:w="7" w:type="dxa"/>
        <w:shd w:val="clear" w:color="auto" w:fill="0099CC"/>
        <w:tblCellMar>
          <w:left w:w="0" w:type="dxa"/>
          <w:right w:w="0" w:type="dxa"/>
        </w:tblCellMar>
        <w:tblLook w:val="04A0"/>
      </w:tblPr>
      <w:tblGrid>
        <w:gridCol w:w="1180"/>
        <w:gridCol w:w="6388"/>
        <w:gridCol w:w="766"/>
      </w:tblGrid>
      <w:tr w:rsidR="00EE141E" w:rsidRPr="00EE141E" w:rsidTr="00EE141E">
        <w:trPr>
          <w:trHeight w:val="315"/>
          <w:tblCellSpacing w:w="7" w:type="dxa"/>
          <w:jc w:val="center"/>
        </w:trPr>
        <w:tc>
          <w:tcPr>
            <w:tcW w:w="700" w:type="pct"/>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3850" w:type="pct"/>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color w:val="FFFFFF"/>
                <w:kern w:val="0"/>
              </w:rPr>
              <w:t>购进农产品进项税额扣除率</w:t>
            </w:r>
          </w:p>
        </w:tc>
        <w:tc>
          <w:tcPr>
            <w:tcW w:w="450" w:type="pct"/>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color w:val="FFFFFF"/>
                <w:kern w:val="0"/>
              </w:rPr>
              <w:t>扣除率</w:t>
            </w:r>
          </w:p>
        </w:tc>
      </w:tr>
      <w:tr w:rsidR="00EE141E" w:rsidRPr="00EE141E" w:rsidTr="00EE141E">
        <w:trPr>
          <w:trHeight w:val="930"/>
          <w:tblCellSpacing w:w="7" w:type="dxa"/>
          <w:jc w:val="center"/>
        </w:trPr>
        <w:tc>
          <w:tcPr>
            <w:tcW w:w="0" w:type="auto"/>
            <w:vMerge w:val="restart"/>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一般纳税人</w:t>
            </w: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对增值税一般纳税人购进 农产品，原适用10%扣除 率的，扣除率调整为9%。</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9%</w:t>
            </w:r>
          </w:p>
        </w:tc>
      </w:tr>
      <w:tr w:rsidR="00EE141E" w:rsidRPr="00EE141E" w:rsidTr="00EE141E">
        <w:trPr>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 xml:space="preserve">对增值税一般纳税人购 </w:t>
            </w:r>
            <w:proofErr w:type="gramStart"/>
            <w:r w:rsidRPr="00EE141E">
              <w:rPr>
                <w:rFonts w:ascii="新宋体" w:eastAsia="新宋体" w:hAnsi="新宋体" w:cs="宋体" w:hint="eastAsia"/>
                <w:kern w:val="0"/>
                <w:szCs w:val="21"/>
              </w:rPr>
              <w:t>进用于</w:t>
            </w:r>
            <w:proofErr w:type="gramEnd"/>
            <w:r w:rsidRPr="00EE141E">
              <w:rPr>
                <w:rFonts w:ascii="新宋体" w:eastAsia="新宋体" w:hAnsi="新宋体" w:cs="宋体" w:hint="eastAsia"/>
                <w:kern w:val="0"/>
                <w:szCs w:val="21"/>
              </w:rPr>
              <w:t>生产或者委托加 工13%税率货物的农产 品，按照10%扣除率计 算进项税额</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10%</w:t>
            </w:r>
          </w:p>
        </w:tc>
      </w:tr>
    </w:tbl>
    <w:p w:rsidR="00EE141E" w:rsidRPr="00EE141E" w:rsidRDefault="00EE141E" w:rsidP="00EE141E">
      <w:pPr>
        <w:widowControl/>
        <w:shd w:val="clear" w:color="auto" w:fill="FFFFFF"/>
        <w:spacing w:before="100" w:beforeAutospacing="1" w:after="100" w:afterAutospacing="1" w:line="360" w:lineRule="atLeast"/>
        <w:jc w:val="left"/>
        <w:rPr>
          <w:rFonts w:ascii="宋体" w:eastAsia="宋体" w:hAnsi="宋体" w:cs="宋体"/>
          <w:color w:val="000000"/>
          <w:kern w:val="0"/>
          <w:szCs w:val="21"/>
        </w:rPr>
      </w:pPr>
      <w:proofErr w:type="gramStart"/>
      <w:r w:rsidRPr="00EE141E">
        <w:rPr>
          <w:rFonts w:ascii="宋体" w:eastAsia="宋体" w:hAnsi="宋体" w:cs="宋体" w:hint="eastAsia"/>
          <w:b/>
          <w:bCs/>
          <w:color w:val="000000"/>
          <w:kern w:val="0"/>
        </w:rPr>
        <w:t>营改增</w:t>
      </w:r>
      <w:proofErr w:type="gramEnd"/>
      <w:r w:rsidRPr="00EE141E">
        <w:rPr>
          <w:rFonts w:ascii="宋体" w:eastAsia="宋体" w:hAnsi="宋体" w:cs="宋体" w:hint="eastAsia"/>
          <w:b/>
          <w:bCs/>
          <w:color w:val="000000"/>
          <w:kern w:val="0"/>
        </w:rPr>
        <w:t>项目</w:t>
      </w:r>
    </w:p>
    <w:tbl>
      <w:tblPr>
        <w:tblW w:w="5000" w:type="pct"/>
        <w:jc w:val="center"/>
        <w:tblCellSpacing w:w="7" w:type="dxa"/>
        <w:shd w:val="clear" w:color="auto" w:fill="0099CC"/>
        <w:tblCellMar>
          <w:left w:w="0" w:type="dxa"/>
          <w:right w:w="0" w:type="dxa"/>
        </w:tblCellMar>
        <w:tblLook w:val="04A0"/>
      </w:tblPr>
      <w:tblGrid>
        <w:gridCol w:w="1015"/>
        <w:gridCol w:w="6305"/>
        <w:gridCol w:w="1014"/>
      </w:tblGrid>
      <w:tr w:rsidR="00EE141E" w:rsidRPr="00EE141E" w:rsidTr="00EE141E">
        <w:trPr>
          <w:trHeight w:val="315"/>
          <w:tblCellSpacing w:w="7" w:type="dxa"/>
          <w:jc w:val="center"/>
        </w:trPr>
        <w:tc>
          <w:tcPr>
            <w:tcW w:w="600" w:type="pct"/>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3800" w:type="pct"/>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roofErr w:type="gramStart"/>
            <w:r w:rsidRPr="00EE141E">
              <w:rPr>
                <w:rFonts w:ascii="新宋体" w:eastAsia="新宋体" w:hAnsi="新宋体" w:cs="宋体" w:hint="eastAsia"/>
                <w:color w:val="FFFFFF"/>
                <w:kern w:val="0"/>
              </w:rPr>
              <w:t>营改增项目</w:t>
            </w:r>
            <w:proofErr w:type="gramEnd"/>
          </w:p>
        </w:tc>
        <w:tc>
          <w:tcPr>
            <w:tcW w:w="600" w:type="pct"/>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color w:val="FFFFFF"/>
                <w:kern w:val="0"/>
              </w:rPr>
              <w:t>税率</w:t>
            </w:r>
          </w:p>
        </w:tc>
      </w:tr>
      <w:tr w:rsidR="00EE141E" w:rsidRPr="00EE141E" w:rsidTr="00EE141E">
        <w:trPr>
          <w:trHeight w:val="315"/>
          <w:tblCellSpacing w:w="7" w:type="dxa"/>
          <w:jc w:val="center"/>
        </w:trPr>
        <w:tc>
          <w:tcPr>
            <w:tcW w:w="0" w:type="auto"/>
            <w:vMerge w:val="restart"/>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一般纳税人</w:t>
            </w: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交通运输服务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9%</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邮政服务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9%</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基础电信服务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9%</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增值电信服务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6%</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建筑服务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9%</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销售不动产</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9%</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金融服务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6%</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研发技术服务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6%</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信息技术服务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6%</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文化创意服务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6%</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物流辅助服务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6%</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proofErr w:type="gramStart"/>
            <w:r w:rsidRPr="00EE141E">
              <w:rPr>
                <w:rFonts w:ascii="新宋体" w:eastAsia="新宋体" w:hAnsi="新宋体" w:cs="宋体" w:hint="eastAsia"/>
                <w:kern w:val="0"/>
                <w:szCs w:val="21"/>
              </w:rPr>
              <w:t>鉴证</w:t>
            </w:r>
            <w:proofErr w:type="gramEnd"/>
            <w:r w:rsidRPr="00EE141E">
              <w:rPr>
                <w:rFonts w:ascii="新宋体" w:eastAsia="新宋体" w:hAnsi="新宋体" w:cs="宋体" w:hint="eastAsia"/>
                <w:kern w:val="0"/>
                <w:szCs w:val="21"/>
              </w:rPr>
              <w:t>咨询服务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6%</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广播影视服务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6%</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商务辅助服务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6%</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其他现代服务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6%</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有形动产租赁服务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13%</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不动产租赁服务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9%</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文化体育服务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6%</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教育医疗服务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6%</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旅游娱乐服务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6%</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餐饮住宿服务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6%</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居民日常服务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6%</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其他生活服务</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6%</w:t>
            </w:r>
          </w:p>
        </w:tc>
      </w:tr>
      <w:tr w:rsidR="00EE141E" w:rsidRPr="00EE141E" w:rsidTr="00EE141E">
        <w:trPr>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转让技术、商标、著作权、商誉、自然资源和其他权益性无形资产使用权或所有权</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6%</w:t>
            </w:r>
          </w:p>
        </w:tc>
      </w:tr>
      <w:tr w:rsidR="00EE141E" w:rsidRPr="00EE141E" w:rsidTr="00EE141E">
        <w:trPr>
          <w:trHeight w:val="315"/>
          <w:tblCellSpacing w:w="7" w:type="dxa"/>
          <w:jc w:val="center"/>
        </w:trPr>
        <w:tc>
          <w:tcPr>
            <w:tcW w:w="0" w:type="auto"/>
            <w:vMerge/>
            <w:shd w:val="clear" w:color="auto" w:fill="0099CC"/>
            <w:vAlign w:val="center"/>
            <w:hideMark/>
          </w:tcPr>
          <w:p w:rsidR="00EE141E" w:rsidRPr="00EE141E" w:rsidRDefault="00EE141E" w:rsidP="00EE141E">
            <w:pPr>
              <w:widowControl/>
              <w:jc w:val="left"/>
              <w:rPr>
                <w:rFonts w:ascii="新宋体" w:eastAsia="新宋体" w:hAnsi="新宋体" w:cs="宋体"/>
                <w:kern w:val="0"/>
                <w:szCs w:val="21"/>
              </w:rPr>
            </w:pPr>
          </w:p>
        </w:tc>
        <w:tc>
          <w:tcPr>
            <w:tcW w:w="0" w:type="auto"/>
            <w:shd w:val="clear" w:color="auto" w:fill="FFFFFF"/>
            <w:vAlign w:val="center"/>
            <w:hideMark/>
          </w:tcPr>
          <w:p w:rsidR="00EE141E" w:rsidRPr="00EE141E" w:rsidRDefault="00EE141E" w:rsidP="00EE141E">
            <w:pPr>
              <w:widowControl/>
              <w:jc w:val="left"/>
              <w:rPr>
                <w:rFonts w:ascii="新宋体" w:eastAsia="新宋体" w:hAnsi="新宋体" w:cs="宋体"/>
                <w:kern w:val="0"/>
                <w:szCs w:val="21"/>
              </w:rPr>
            </w:pPr>
            <w:r w:rsidRPr="00EE141E">
              <w:rPr>
                <w:rFonts w:ascii="新宋体" w:eastAsia="新宋体" w:hAnsi="新宋体" w:cs="宋体" w:hint="eastAsia"/>
                <w:kern w:val="0"/>
                <w:szCs w:val="21"/>
              </w:rPr>
              <w:t>转让土地使用权</w:t>
            </w:r>
          </w:p>
        </w:tc>
        <w:tc>
          <w:tcPr>
            <w:tcW w:w="0" w:type="auto"/>
            <w:shd w:val="clear" w:color="auto" w:fill="FFFFFF"/>
            <w:vAlign w:val="center"/>
            <w:hideMark/>
          </w:tcPr>
          <w:p w:rsidR="00EE141E" w:rsidRPr="00EE141E" w:rsidRDefault="00EE141E" w:rsidP="00EE141E">
            <w:pPr>
              <w:widowControl/>
              <w:jc w:val="center"/>
              <w:rPr>
                <w:rFonts w:ascii="新宋体" w:eastAsia="新宋体" w:hAnsi="新宋体" w:cs="宋体"/>
                <w:kern w:val="0"/>
                <w:szCs w:val="21"/>
              </w:rPr>
            </w:pPr>
            <w:r w:rsidRPr="00EE141E">
              <w:rPr>
                <w:rFonts w:ascii="新宋体" w:eastAsia="新宋体" w:hAnsi="新宋体" w:cs="宋体" w:hint="eastAsia"/>
                <w:kern w:val="0"/>
                <w:szCs w:val="21"/>
              </w:rPr>
              <w:t>9</w:t>
            </w:r>
          </w:p>
        </w:tc>
      </w:tr>
    </w:tbl>
    <w:p w:rsidR="00F21A57" w:rsidRPr="00EE141E" w:rsidRDefault="00F21A57"/>
    <w:sectPr w:rsidR="00F21A57" w:rsidRPr="00EE141E" w:rsidSect="00F21A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5AA3" w:rsidRDefault="00A75AA3" w:rsidP="00A75AA3">
      <w:r>
        <w:separator/>
      </w:r>
    </w:p>
  </w:endnote>
  <w:endnote w:type="continuationSeparator" w:id="1">
    <w:p w:rsidR="00A75AA3" w:rsidRDefault="00A75AA3" w:rsidP="00A75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5AA3" w:rsidRDefault="00A75AA3" w:rsidP="00A75AA3">
      <w:r>
        <w:separator/>
      </w:r>
    </w:p>
  </w:footnote>
  <w:footnote w:type="continuationSeparator" w:id="1">
    <w:p w:rsidR="00A75AA3" w:rsidRDefault="00A75AA3" w:rsidP="00A75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E141E"/>
    <w:rsid w:val="006A5C66"/>
    <w:rsid w:val="00A75AA3"/>
    <w:rsid w:val="00B92C99"/>
    <w:rsid w:val="00BE5336"/>
    <w:rsid w:val="00EE141E"/>
    <w:rsid w:val="00F21A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A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E141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E141E"/>
    <w:rPr>
      <w:b/>
      <w:bCs/>
    </w:rPr>
  </w:style>
  <w:style w:type="character" w:customStyle="1" w:styleId="style1">
    <w:name w:val="style1"/>
    <w:basedOn w:val="a0"/>
    <w:rsid w:val="00EE141E"/>
  </w:style>
  <w:style w:type="paragraph" w:styleId="a5">
    <w:name w:val="header"/>
    <w:basedOn w:val="a"/>
    <w:link w:val="Char"/>
    <w:uiPriority w:val="99"/>
    <w:semiHidden/>
    <w:unhideWhenUsed/>
    <w:rsid w:val="00A75A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A75AA3"/>
    <w:rPr>
      <w:sz w:val="18"/>
      <w:szCs w:val="18"/>
    </w:rPr>
  </w:style>
  <w:style w:type="paragraph" w:styleId="a6">
    <w:name w:val="footer"/>
    <w:basedOn w:val="a"/>
    <w:link w:val="Char0"/>
    <w:uiPriority w:val="99"/>
    <w:semiHidden/>
    <w:unhideWhenUsed/>
    <w:rsid w:val="00A75AA3"/>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A75AA3"/>
    <w:rPr>
      <w:sz w:val="18"/>
      <w:szCs w:val="18"/>
    </w:rPr>
  </w:style>
</w:styles>
</file>

<file path=word/webSettings.xml><?xml version="1.0" encoding="utf-8"?>
<w:webSettings xmlns:r="http://schemas.openxmlformats.org/officeDocument/2006/relationships" xmlns:w="http://schemas.openxmlformats.org/wordprocessingml/2006/main">
  <w:divs>
    <w:div w:id="613707662">
      <w:bodyDiv w:val="1"/>
      <w:marLeft w:val="0"/>
      <w:marRight w:val="0"/>
      <w:marTop w:val="0"/>
      <w:marBottom w:val="0"/>
      <w:divBdr>
        <w:top w:val="none" w:sz="0" w:space="0" w:color="auto"/>
        <w:left w:val="none" w:sz="0" w:space="0" w:color="auto"/>
        <w:bottom w:val="none" w:sz="0" w:space="0" w:color="auto"/>
        <w:right w:val="none" w:sz="0" w:space="0" w:color="auto"/>
      </w:divBdr>
    </w:div>
    <w:div w:id="874663218">
      <w:bodyDiv w:val="1"/>
      <w:marLeft w:val="0"/>
      <w:marRight w:val="0"/>
      <w:marTop w:val="0"/>
      <w:marBottom w:val="0"/>
      <w:divBdr>
        <w:top w:val="none" w:sz="0" w:space="0" w:color="auto"/>
        <w:left w:val="none" w:sz="0" w:space="0" w:color="auto"/>
        <w:bottom w:val="none" w:sz="0" w:space="0" w:color="auto"/>
        <w:right w:val="none" w:sz="0" w:space="0" w:color="auto"/>
      </w:divBdr>
    </w:div>
    <w:div w:id="161259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203</Words>
  <Characters>1161</Characters>
  <Application>Microsoft Office Word</Application>
  <DocSecurity>0</DocSecurity>
  <Lines>9</Lines>
  <Paragraphs>2</Paragraphs>
  <ScaleCrop>false</ScaleCrop>
  <Company>Microsoft</Company>
  <LinksUpToDate>false</LinksUpToDate>
  <CharactersWithSpaces>1362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2020-11-18T09:51:00Z</dcterms:created>
  <dcterms:modified xsi:type="dcterms:W3CDTF">2020-11-18T10:37:00Z</dcterms:modified>
</cp:coreProperties>
</file>